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b/>
          <w:color w:val="181717" w:themeColor="background2" w:themeShade="1A"/>
          <w:sz w:val="32"/>
          <w:szCs w:val="32"/>
          <w:lang w:eastAsia="zh-CN"/>
        </w:rPr>
      </w:pPr>
      <w:r>
        <w:rPr>
          <w:rFonts w:hint="eastAsia" w:ascii="仿宋_GB2312" w:hAnsi="仿宋_GB2312" w:eastAsia="仿宋_GB2312" w:cs="仿宋_GB2312"/>
          <w:b/>
          <w:color w:val="181717" w:themeColor="background2" w:themeShade="1A"/>
          <w:kern w:val="0"/>
          <w:sz w:val="32"/>
          <w:szCs w:val="32"/>
        </w:rPr>
        <w:t>附件</w:t>
      </w:r>
      <w:bookmarkStart w:id="0" w:name="_Hlk40206086"/>
      <w:r>
        <w:rPr>
          <w:rFonts w:hint="eastAsia" w:ascii="仿宋_GB2312" w:hAnsi="仿宋_GB2312" w:eastAsia="仿宋_GB2312" w:cs="仿宋_GB2312"/>
          <w:b/>
          <w:color w:val="181717" w:themeColor="background2" w:themeShade="1A"/>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bCs w:val="0"/>
          <w:color w:val="181717" w:themeColor="background2" w:themeShade="1A"/>
          <w:sz w:val="44"/>
          <w:szCs w:val="44"/>
        </w:rPr>
      </w:pPr>
      <w:r>
        <w:rPr>
          <w:rFonts w:hint="eastAsia" w:ascii="方正小标宋简体" w:hAnsi="方正小标宋简体" w:eastAsia="方正小标宋简体" w:cs="方正小标宋简体"/>
          <w:b w:val="0"/>
          <w:bCs w:val="0"/>
          <w:color w:val="181717" w:themeColor="background2" w:themeShade="1A"/>
          <w:sz w:val="44"/>
          <w:szCs w:val="44"/>
        </w:rPr>
        <w:t>“正大杯”2022年大学生</w:t>
      </w:r>
      <w:r>
        <w:rPr>
          <w:rFonts w:hint="eastAsia" w:ascii="方正小标宋简体" w:hAnsi="方正小标宋简体" w:eastAsia="方正小标宋简体" w:cs="方正小标宋简体"/>
          <w:b w:val="0"/>
          <w:bCs w:val="0"/>
          <w:color w:val="181717" w:themeColor="background2" w:themeShade="1A"/>
          <w:sz w:val="44"/>
          <w:szCs w:val="44"/>
          <w:lang w:eastAsia="zh-Hans"/>
        </w:rPr>
        <w:t>就业</w:t>
      </w:r>
      <w:r>
        <w:rPr>
          <w:rFonts w:hint="eastAsia" w:ascii="方正小标宋简体" w:hAnsi="方正小标宋简体" w:eastAsia="方正小标宋简体" w:cs="方正小标宋简体"/>
          <w:b w:val="0"/>
          <w:bCs w:val="0"/>
          <w:color w:val="181717" w:themeColor="background2" w:themeShade="1A"/>
          <w:sz w:val="44"/>
          <w:szCs w:val="44"/>
        </w:rPr>
        <w:t>创业实战</w:t>
      </w:r>
      <w:bookmarkEnd w:id="0"/>
      <w:r>
        <w:rPr>
          <w:rFonts w:hint="eastAsia" w:ascii="方正小标宋简体" w:hAnsi="方正小标宋简体" w:eastAsia="方正小标宋简体" w:cs="方正小标宋简体"/>
          <w:b w:val="0"/>
          <w:bCs w:val="0"/>
          <w:color w:val="181717" w:themeColor="background2" w:themeShade="1A"/>
          <w:sz w:val="44"/>
          <w:szCs w:val="44"/>
        </w:rPr>
        <w:t>大赛实战营销赛道评审办法</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黑体" w:hAnsi="黑体" w:eastAsia="黑体" w:cs="黑体"/>
          <w:color w:val="181717" w:themeColor="background2" w:themeShade="1A"/>
          <w:sz w:val="32"/>
          <w:szCs w:val="32"/>
        </w:rPr>
      </w:pPr>
      <w:r>
        <w:rPr>
          <w:rFonts w:hint="eastAsia" w:ascii="黑体" w:hAnsi="黑体" w:eastAsia="黑体" w:cs="黑体"/>
          <w:color w:val="181717" w:themeColor="background2" w:themeShade="1A"/>
          <w:sz w:val="32"/>
          <w:szCs w:val="32"/>
        </w:rPr>
        <w:t>一、赛区初赛评审规则</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rPr>
      </w:pPr>
      <w:r>
        <w:rPr>
          <w:rFonts w:hint="eastAsia" w:ascii="仿宋_GB2312" w:hAnsi="仿宋_GB2312" w:eastAsia="仿宋_GB2312" w:cs="仿宋_GB2312"/>
          <w:color w:val="181717" w:themeColor="background2" w:themeShade="1A"/>
          <w:sz w:val="32"/>
          <w:szCs w:val="32"/>
        </w:rPr>
        <w:t>赛区初赛</w:t>
      </w:r>
      <w:r>
        <w:rPr>
          <w:rFonts w:hint="eastAsia" w:ascii="仿宋_GB2312" w:hAnsi="仿宋_GB2312" w:eastAsia="仿宋_GB2312" w:cs="仿宋_GB2312"/>
          <w:color w:val="181717" w:themeColor="background2" w:themeShade="1A"/>
          <w:sz w:val="32"/>
          <w:szCs w:val="32"/>
          <w:lang w:eastAsia="zh-Hans"/>
        </w:rPr>
        <w:t>由营销策划和实战营销两部分组成，根据</w:t>
      </w:r>
      <w:r>
        <w:rPr>
          <w:rFonts w:hint="eastAsia" w:ascii="仿宋_GB2312" w:hAnsi="仿宋_GB2312" w:eastAsia="仿宋_GB2312" w:cs="仿宋_GB2312"/>
          <w:color w:val="181717" w:themeColor="background2" w:themeShade="1A"/>
          <w:sz w:val="32"/>
          <w:szCs w:val="32"/>
        </w:rPr>
        <w:t>初赛成绩</w:t>
      </w:r>
      <w:r>
        <w:rPr>
          <w:rFonts w:hint="eastAsia" w:ascii="仿宋_GB2312" w:hAnsi="仿宋_GB2312" w:eastAsia="仿宋_GB2312" w:cs="仿宋_GB2312"/>
          <w:color w:val="181717" w:themeColor="background2" w:themeShade="1A"/>
          <w:sz w:val="32"/>
          <w:szCs w:val="32"/>
          <w:lang w:eastAsia="zh-Hans"/>
        </w:rPr>
        <w:t>择优选拔优秀</w:t>
      </w:r>
      <w:r>
        <w:rPr>
          <w:rFonts w:hint="eastAsia" w:ascii="仿宋_GB2312" w:hAnsi="仿宋_GB2312" w:eastAsia="仿宋_GB2312" w:cs="仿宋_GB2312"/>
          <w:color w:val="181717" w:themeColor="background2" w:themeShade="1A"/>
          <w:sz w:val="32"/>
          <w:szCs w:val="32"/>
        </w:rPr>
        <w:t>团队晋级所在地的赛区决赛。</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rPr>
      </w:pPr>
      <w:r>
        <w:rPr>
          <w:rFonts w:hint="eastAsia" w:ascii="仿宋_GB2312" w:hAnsi="仿宋_GB2312" w:eastAsia="仿宋_GB2312" w:cs="仿宋_GB2312"/>
          <w:color w:val="181717" w:themeColor="background2" w:themeShade="1A"/>
          <w:sz w:val="32"/>
          <w:szCs w:val="32"/>
        </w:rPr>
        <w:t>赛区初赛成绩=营销策划成绩×60%+实战营销成绩×40%=总成绩。</w:t>
      </w:r>
    </w:p>
    <w:p>
      <w:pPr>
        <w:keepNext w:val="0"/>
        <w:keepLines w:val="0"/>
        <w:pageBreakBefore w:val="0"/>
        <w:widowControl w:val="0"/>
        <w:kinsoku/>
        <w:wordWrap/>
        <w:overflowPunct/>
        <w:topLinePunct w:val="0"/>
        <w:autoSpaceDE/>
        <w:autoSpaceDN/>
        <w:bidi w:val="0"/>
        <w:adjustRightInd/>
        <w:snapToGrid/>
        <w:spacing w:line="760" w:lineRule="exact"/>
        <w:ind w:firstLine="643" w:firstLineChars="200"/>
        <w:textAlignment w:val="auto"/>
        <w:rPr>
          <w:rFonts w:hint="eastAsia" w:ascii="楷体_GB2312" w:hAnsi="楷体_GB2312" w:eastAsia="楷体_GB2312" w:cs="楷体_GB2312"/>
          <w:b/>
          <w:bCs/>
          <w:color w:val="181717" w:themeColor="background2" w:themeShade="1A"/>
          <w:sz w:val="32"/>
          <w:szCs w:val="32"/>
        </w:rPr>
      </w:pPr>
      <w:r>
        <w:rPr>
          <w:rFonts w:hint="eastAsia" w:ascii="楷体_GB2312" w:hAnsi="楷体_GB2312" w:eastAsia="楷体_GB2312" w:cs="楷体_GB2312"/>
          <w:b/>
          <w:bCs/>
          <w:color w:val="181717" w:themeColor="background2" w:themeShade="1A"/>
          <w:sz w:val="32"/>
          <w:szCs w:val="32"/>
        </w:rPr>
        <w:t>1. 营销策划</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181717" w:themeColor="background2" w:themeShade="1A"/>
          <w:sz w:val="32"/>
          <w:szCs w:val="32"/>
        </w:rPr>
        <w:t>各大赛区评委对参赛团队提交的营销策划案从行业分析、市场调研、商</w:t>
      </w:r>
      <w:r>
        <w:rPr>
          <w:rFonts w:hint="eastAsia" w:ascii="仿宋_GB2312" w:hAnsi="仿宋_GB2312" w:eastAsia="仿宋_GB2312" w:cs="仿宋_GB2312"/>
          <w:sz w:val="32"/>
          <w:szCs w:val="32"/>
        </w:rPr>
        <w:t>业模式、营销</w:t>
      </w:r>
      <w:r>
        <w:rPr>
          <w:rFonts w:hint="eastAsia" w:ascii="仿宋_GB2312" w:hAnsi="仿宋_GB2312" w:eastAsia="仿宋_GB2312" w:cs="仿宋_GB2312"/>
          <w:sz w:val="32"/>
          <w:szCs w:val="32"/>
          <w:lang w:eastAsia="zh-Hans"/>
        </w:rPr>
        <w:t>创意</w:t>
      </w:r>
      <w:r>
        <w:rPr>
          <w:rFonts w:hint="eastAsia" w:ascii="仿宋_GB2312" w:hAnsi="仿宋_GB2312" w:eastAsia="仿宋_GB2312" w:cs="仿宋_GB2312"/>
          <w:sz w:val="32"/>
          <w:szCs w:val="32"/>
        </w:rPr>
        <w:t>、行动方案五个方面进行评分，评分采用百分制。</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rPr>
      </w:pPr>
      <w:r>
        <w:rPr>
          <w:rFonts w:hint="eastAsia" w:ascii="仿宋_GB2312" w:hAnsi="仿宋_GB2312" w:eastAsia="仿宋_GB2312" w:cs="仿宋_GB2312"/>
          <w:sz w:val="32"/>
          <w:szCs w:val="32"/>
        </w:rPr>
        <w:t>营销策划案成绩=行业分析得分×20%+市场调研得分×20%+商业模式得分×20%+营销</w:t>
      </w:r>
      <w:r>
        <w:rPr>
          <w:rFonts w:hint="eastAsia" w:ascii="仿宋_GB2312" w:hAnsi="仿宋_GB2312" w:eastAsia="仿宋_GB2312" w:cs="仿宋_GB2312"/>
          <w:sz w:val="32"/>
          <w:szCs w:val="32"/>
          <w:lang w:eastAsia="zh-Hans"/>
        </w:rPr>
        <w:t>创意</w:t>
      </w:r>
      <w:r>
        <w:rPr>
          <w:rFonts w:hint="eastAsia" w:ascii="仿宋_GB2312" w:hAnsi="仿宋_GB2312" w:eastAsia="仿宋_GB2312" w:cs="仿宋_GB2312"/>
          <w:sz w:val="32"/>
          <w:szCs w:val="32"/>
        </w:rPr>
        <w:t>得分×</w:t>
      </w:r>
      <w:r>
        <w:rPr>
          <w:rFonts w:hint="eastAsia" w:ascii="仿宋_GB2312" w:hAnsi="仿宋_GB2312" w:eastAsia="仿宋_GB2312" w:cs="仿宋_GB2312"/>
          <w:color w:val="181717" w:themeColor="background2" w:themeShade="1A"/>
          <w:sz w:val="32"/>
          <w:szCs w:val="32"/>
        </w:rPr>
        <w:t>20%+行动方案得分×20%。</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选题方向建议：</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（1）创意营销：通过运用创新营销方法和创意产品研发等手段进行实战营销。利用数字化的新媒体平台进行营销，</w:t>
      </w:r>
      <w:r>
        <w:rPr>
          <w:rFonts w:hint="eastAsia" w:ascii="仿宋_GB2312" w:hAnsi="仿宋_GB2312" w:eastAsia="仿宋_GB2312" w:cs="仿宋_GB2312"/>
          <w:sz w:val="32"/>
          <w:szCs w:val="32"/>
        </w:rPr>
        <w:t>对消费者进行心理引导，以内容为核心，获取有利于盈利的潜在销售线索</w:t>
      </w:r>
      <w:r>
        <w:rPr>
          <w:rFonts w:hint="eastAsia" w:ascii="仿宋_GB2312" w:hAnsi="仿宋_GB2312" w:eastAsia="仿宋_GB2312" w:cs="仿宋_GB2312"/>
          <w:sz w:val="32"/>
          <w:szCs w:val="32"/>
          <w:lang w:eastAsia="zh-Hans"/>
        </w:rPr>
        <w:t>；在特定产品的基础上，进行二次创意产品研发，达到资源整合、产品升级的效果，带来更大的收益回报。</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（2）</w:t>
      </w:r>
      <w:r>
        <w:rPr>
          <w:rFonts w:hint="eastAsia" w:ascii="仿宋_GB2312" w:hAnsi="仿宋_GB2312" w:eastAsia="仿宋_GB2312" w:cs="仿宋_GB2312"/>
          <w:sz w:val="32"/>
          <w:szCs w:val="32"/>
        </w:rPr>
        <w:t>新零售：目前商业在发生巨大的变革，消费生活和消费习惯发生巨大的变化。零售新模式，即个人、企业以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"https://baike.baidu.com/item/%E4%BA%92%E8%81%94%E7%BD%91/199186" \t "/Users/sunxuefei/Documentsx/_blank"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互联网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为依托，通过运用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"https://baike.baidu.com/item/%E5%A4%A7%E6%95%B0%E6%8D%AE/1356941" \t "/Users/sunxuefei/Documentsx/_blank"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大数据</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"https://baike.baidu.com/item/%E4%BA%BA%E5%B7%A5%E6%99%BA%E8%83%BD/9180" \t "/Users/sunxuefei/Documentsx/_blank"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人工智能</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等先进技术手段，对商品的生产、流通与销售过程进行升级改造，进而重塑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"https://baike.baidu.com/item/%E4%B8%9A%E6%80%81/3174411" \t "/Users/sunxuefei/Documentsx/_blank"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业态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结构与生态圈，并对线上服务、线下体验以及现代物流进行深度融合的零售新模式。</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Hans"/>
        </w:rPr>
        <w:t>（3）</w:t>
      </w:r>
      <w:r>
        <w:rPr>
          <w:rFonts w:hint="eastAsia" w:ascii="仿宋_GB2312" w:hAnsi="仿宋_GB2312" w:eastAsia="仿宋_GB2312" w:cs="仿宋_GB2312"/>
          <w:sz w:val="32"/>
          <w:szCs w:val="32"/>
        </w:rPr>
        <w:t>数字化转型：是利用数字化技术和能力来驱动企业商业模式创新和商业生态系统重构的一种途径与方法。基于对业务数据充分而高效的运用，洞悉内外环境变化并快速响应，提升企业运营效率，为客户提供更优质的体验。</w:t>
      </w:r>
    </w:p>
    <w:p>
      <w:pPr>
        <w:keepNext w:val="0"/>
        <w:keepLines w:val="0"/>
        <w:pageBreakBefore w:val="0"/>
        <w:widowControl w:val="0"/>
        <w:kinsoku/>
        <w:wordWrap/>
        <w:overflowPunct/>
        <w:topLinePunct w:val="0"/>
        <w:autoSpaceDE/>
        <w:autoSpaceDN/>
        <w:bidi w:val="0"/>
        <w:adjustRightInd/>
        <w:snapToGrid/>
        <w:spacing w:line="760" w:lineRule="exact"/>
        <w:ind w:firstLine="643" w:firstLineChars="200"/>
        <w:textAlignment w:val="auto"/>
        <w:rPr>
          <w:rFonts w:hint="eastAsia" w:ascii="楷体_GB2312" w:hAnsi="楷体_GB2312" w:eastAsia="楷体_GB2312" w:cs="楷体_GB2312"/>
          <w:b/>
          <w:bCs/>
          <w:color w:val="181717" w:themeColor="background2" w:themeShade="1A"/>
          <w:sz w:val="32"/>
          <w:szCs w:val="32"/>
        </w:rPr>
      </w:pPr>
      <w:bookmarkStart w:id="1" w:name="_GoBack"/>
      <w:r>
        <w:rPr>
          <w:rFonts w:hint="eastAsia" w:ascii="楷体_GB2312" w:hAnsi="楷体_GB2312" w:eastAsia="楷体_GB2312" w:cs="楷体_GB2312"/>
          <w:b/>
          <w:bCs/>
          <w:color w:val="181717" w:themeColor="background2" w:themeShade="1A"/>
          <w:sz w:val="32"/>
          <w:szCs w:val="32"/>
        </w:rPr>
        <w:t>2. 实战营销</w:t>
      </w:r>
    </w:p>
    <w:bookmarkEnd w:id="1"/>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rPr>
      </w:pPr>
      <w:r>
        <w:rPr>
          <w:rFonts w:hint="eastAsia" w:ascii="仿宋_GB2312" w:hAnsi="仿宋_GB2312" w:eastAsia="仿宋_GB2312" w:cs="仿宋_GB2312"/>
          <w:color w:val="181717" w:themeColor="background2" w:themeShade="1A"/>
          <w:sz w:val="32"/>
          <w:szCs w:val="32"/>
        </w:rPr>
        <w:t>参赛选手通</w:t>
      </w:r>
      <w:r>
        <w:rPr>
          <w:rFonts w:hint="eastAsia" w:ascii="仿宋_GB2312" w:hAnsi="仿宋_GB2312" w:eastAsia="仿宋_GB2312" w:cs="仿宋_GB2312"/>
          <w:sz w:val="32"/>
          <w:szCs w:val="32"/>
        </w:rPr>
        <w:t>过线上/线下平台进行</w:t>
      </w:r>
      <w:r>
        <w:rPr>
          <w:rFonts w:hint="eastAsia" w:ascii="仿宋_GB2312" w:hAnsi="仿宋_GB2312" w:eastAsia="仿宋_GB2312" w:cs="仿宋_GB2312"/>
          <w:color w:val="181717" w:themeColor="background2" w:themeShade="1A"/>
          <w:sz w:val="32"/>
          <w:szCs w:val="32"/>
        </w:rPr>
        <w:t>指定产品的实战营销</w:t>
      </w:r>
      <w:r>
        <w:rPr>
          <w:rFonts w:hint="eastAsia" w:ascii="仿宋_GB2312" w:hAnsi="仿宋_GB2312" w:eastAsia="仿宋_GB2312" w:cs="仿宋_GB2312"/>
          <w:color w:val="181717" w:themeColor="background2" w:themeShade="1A"/>
          <w:sz w:val="32"/>
          <w:szCs w:val="32"/>
          <w:lang w:eastAsia="zh-Hans"/>
        </w:rPr>
        <w:t>，</w:t>
      </w:r>
      <w:r>
        <w:rPr>
          <w:rFonts w:hint="eastAsia" w:ascii="仿宋_GB2312" w:hAnsi="仿宋_GB2312" w:eastAsia="仿宋_GB2312" w:cs="仿宋_GB2312"/>
          <w:color w:val="181717" w:themeColor="background2" w:themeShade="1A"/>
          <w:sz w:val="32"/>
          <w:szCs w:val="32"/>
        </w:rPr>
        <w:t>以营销成绩排名计分，比赛成绩将从销售指标、传播推广、客户推广、运营管理四个方面进行计算，评分采用百分制。</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rPr>
      </w:pPr>
      <w:r>
        <w:rPr>
          <w:rFonts w:hint="eastAsia" w:ascii="仿宋_GB2312" w:hAnsi="仿宋_GB2312" w:eastAsia="仿宋_GB2312" w:cs="仿宋_GB2312"/>
          <w:color w:val="181717" w:themeColor="background2" w:themeShade="1A"/>
          <w:sz w:val="32"/>
          <w:szCs w:val="32"/>
        </w:rPr>
        <w:t>实战营销成绩=（销售额×100/最高销售额）×50%+（访问量×100/最高访问量）×20%+（客户数量×100/最高客户数量）×20%+运营管理得分×10%。</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黑体" w:hAnsi="黑体" w:eastAsia="黑体" w:cs="黑体"/>
          <w:color w:val="181717" w:themeColor="background2" w:themeShade="1A"/>
          <w:sz w:val="32"/>
          <w:szCs w:val="32"/>
        </w:rPr>
      </w:pPr>
      <w:r>
        <w:rPr>
          <w:rFonts w:hint="eastAsia" w:ascii="黑体" w:hAnsi="黑体" w:eastAsia="黑体" w:cs="黑体"/>
          <w:color w:val="181717" w:themeColor="background2" w:themeShade="1A"/>
          <w:sz w:val="32"/>
          <w:szCs w:val="32"/>
        </w:rPr>
        <w:t>二、赛区决赛评审规则</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rPr>
      </w:pPr>
      <w:r>
        <w:rPr>
          <w:rFonts w:hint="eastAsia" w:ascii="仿宋_GB2312" w:hAnsi="仿宋_GB2312" w:eastAsia="仿宋_GB2312" w:cs="仿宋_GB2312"/>
          <w:color w:val="181717" w:themeColor="background2" w:themeShade="1A"/>
          <w:sz w:val="32"/>
          <w:szCs w:val="32"/>
        </w:rPr>
        <w:t>赛区决赛采用线下答辩的形式，评委从参赛作品的创新性、商业性、可持续性、团队表现四个方面进行评分，评分采用百分制。各赛区根据全国总决赛配额对所在区参赛项目进行选拔。</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rPr>
      </w:pPr>
      <w:r>
        <w:rPr>
          <w:rFonts w:hint="eastAsia" w:ascii="仿宋_GB2312" w:hAnsi="仿宋_GB2312" w:eastAsia="仿宋_GB2312" w:cs="仿宋_GB2312"/>
          <w:color w:val="181717" w:themeColor="background2" w:themeShade="1A"/>
          <w:sz w:val="32"/>
          <w:szCs w:val="32"/>
        </w:rPr>
        <w:t>赛区决赛成绩=创新性得分×30%+商业性得分×40%+可持续性得分×15%+团队表现得分×15%。</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黑体" w:hAnsi="黑体" w:eastAsia="黑体" w:cs="黑体"/>
          <w:color w:val="181717" w:themeColor="background2" w:themeShade="1A"/>
          <w:sz w:val="32"/>
          <w:szCs w:val="32"/>
        </w:rPr>
      </w:pPr>
      <w:r>
        <w:rPr>
          <w:rFonts w:hint="eastAsia" w:ascii="黑体" w:hAnsi="黑体" w:eastAsia="黑体" w:cs="黑体"/>
          <w:color w:val="181717" w:themeColor="background2" w:themeShade="1A"/>
          <w:sz w:val="32"/>
          <w:szCs w:val="32"/>
        </w:rPr>
        <w:t>三、全国总决赛评审规则</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全国总决赛由营销策划得分、实战营销得分和项目展示人气得分三部分组成。</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营销策划、实战营销部分评判方式与赛区初赛相同。项目展示人气部分以视频号集赞形式进行，参赛团队需制作1分钟参赛视频，并上传至正大招聘视频号进行人气点赞，根据参赛团队集赞数量排名积分，集赞截至时间为总决赛颁奖前一天21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总决赛成绩=</w:t>
      </w:r>
      <w:r>
        <w:rPr>
          <w:rFonts w:hint="eastAsia" w:ascii="仿宋_GB2312" w:hAnsi="仿宋_GB2312" w:eastAsia="仿宋_GB2312" w:cs="仿宋_GB2312"/>
          <w:sz w:val="32"/>
          <w:szCs w:val="32"/>
          <w:lang w:eastAsia="zh-Hans"/>
        </w:rPr>
        <w:t>营销策划成绩</w:t>
      </w: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lang w:eastAsia="zh-Hans"/>
        </w:rPr>
        <w:t>实战营销成绩</w:t>
      </w: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lang w:eastAsia="zh-Hans"/>
        </w:rPr>
        <w:t>项目展示人气成绩</w:t>
      </w:r>
      <w:r>
        <w:rPr>
          <w:rFonts w:hint="eastAsia" w:ascii="仿宋_GB2312" w:hAnsi="仿宋_GB2312" w:eastAsia="仿宋_GB2312" w:cs="仿宋_GB2312"/>
          <w:sz w:val="32"/>
          <w:szCs w:val="32"/>
        </w:rPr>
        <w:t>×5%。</w:t>
      </w: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color w:val="181717" w:themeColor="background2" w:themeShade="1A"/>
          <w:sz w:val="32"/>
          <w:szCs w:val="32"/>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b/>
          <w:color w:val="181717" w:themeColor="background2" w:themeShade="1A"/>
          <w:kern w:val="0"/>
          <w:sz w:val="32"/>
          <w:szCs w:val="32"/>
        </w:rPr>
      </w:pPr>
      <w:r>
        <w:rPr>
          <w:rFonts w:hint="eastAsia" w:ascii="仿宋_GB2312" w:hAnsi="仿宋_GB2312" w:eastAsia="仿宋_GB2312" w:cs="仿宋_GB2312"/>
          <w:b/>
          <w:color w:val="181717" w:themeColor="background2" w:themeShade="1A"/>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b/>
          <w:color w:val="181717" w:themeColor="background2" w:themeShade="1A"/>
          <w:kern w:val="0"/>
          <w:sz w:val="32"/>
          <w:szCs w:val="32"/>
        </w:rPr>
      </w:pPr>
      <w:r>
        <w:rPr>
          <w:rFonts w:hint="eastAsia" w:ascii="仿宋_GB2312" w:hAnsi="仿宋_GB2312" w:eastAsia="仿宋_GB2312" w:cs="仿宋_GB2312"/>
          <w:b/>
          <w:color w:val="181717" w:themeColor="background2" w:themeShade="1A"/>
          <w:kern w:val="0"/>
          <w:sz w:val="32"/>
          <w:szCs w:val="32"/>
        </w:rPr>
        <w:t>附件2</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_GB2312" w:hAnsi="仿宋_GB2312" w:eastAsia="仿宋_GB2312" w:cs="仿宋_GB2312"/>
          <w:b/>
          <w:bCs/>
          <w:color w:val="181717" w:themeColor="background2" w:themeShade="1A"/>
          <w:sz w:val="32"/>
          <w:szCs w:val="32"/>
          <w:lang w:eastAsia="zh-Hans"/>
        </w:rPr>
      </w:pPr>
      <w:r>
        <w:rPr>
          <w:rFonts w:hint="eastAsia" w:ascii="仿宋_GB2312" w:hAnsi="仿宋_GB2312" w:eastAsia="仿宋_GB2312" w:cs="仿宋_GB2312"/>
          <w:b/>
          <w:bCs/>
          <w:color w:val="181717" w:themeColor="background2" w:themeShade="1A"/>
          <w:sz w:val="32"/>
          <w:szCs w:val="32"/>
          <w:lang w:eastAsia="zh-Hans"/>
        </w:rPr>
        <w:t>“正大杯”202</w:t>
      </w:r>
      <w:r>
        <w:rPr>
          <w:rFonts w:hint="eastAsia" w:ascii="仿宋_GB2312" w:hAnsi="仿宋_GB2312" w:eastAsia="仿宋_GB2312" w:cs="仿宋_GB2312"/>
          <w:b/>
          <w:bCs/>
          <w:color w:val="181717" w:themeColor="background2" w:themeShade="1A"/>
          <w:sz w:val="32"/>
          <w:szCs w:val="32"/>
        </w:rPr>
        <w:t>2</w:t>
      </w:r>
      <w:r>
        <w:rPr>
          <w:rFonts w:hint="eastAsia" w:ascii="仿宋_GB2312" w:hAnsi="仿宋_GB2312" w:eastAsia="仿宋_GB2312" w:cs="仿宋_GB2312"/>
          <w:b/>
          <w:bCs/>
          <w:color w:val="181717" w:themeColor="background2" w:themeShade="1A"/>
          <w:sz w:val="32"/>
          <w:szCs w:val="32"/>
          <w:lang w:eastAsia="zh-Hans"/>
        </w:rPr>
        <w:t>年大学生就业创业实战大赛数字创新赛道</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_GB2312" w:hAnsi="仿宋_GB2312" w:eastAsia="仿宋_GB2312" w:cs="仿宋_GB2312"/>
          <w:color w:val="181717" w:themeColor="background2" w:themeShade="1A"/>
          <w:sz w:val="32"/>
          <w:szCs w:val="32"/>
          <w:lang w:eastAsia="zh-Hans"/>
        </w:rPr>
      </w:pPr>
      <w:r>
        <w:rPr>
          <w:rFonts w:hint="eastAsia" w:ascii="仿宋_GB2312" w:hAnsi="仿宋_GB2312" w:eastAsia="仿宋_GB2312" w:cs="仿宋_GB2312"/>
          <w:b/>
          <w:bCs/>
          <w:color w:val="181717" w:themeColor="background2" w:themeShade="1A"/>
          <w:sz w:val="32"/>
          <w:szCs w:val="32"/>
          <w:lang w:eastAsia="zh-Hans"/>
        </w:rPr>
        <w:t>评审办法</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lang w:eastAsia="zh-Hans"/>
        </w:rPr>
      </w:pPr>
      <w:r>
        <w:rPr>
          <w:rFonts w:hint="eastAsia" w:ascii="仿宋_GB2312" w:hAnsi="仿宋_GB2312" w:eastAsia="仿宋_GB2312" w:cs="仿宋_GB2312"/>
          <w:color w:val="181717" w:themeColor="background2" w:themeShade="1A"/>
          <w:sz w:val="32"/>
          <w:szCs w:val="32"/>
          <w:lang w:eastAsia="zh-Hans"/>
        </w:rPr>
        <w:t>一、命题方向</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lang w:eastAsia="zh-Hans"/>
        </w:rPr>
      </w:pPr>
      <w:r>
        <w:rPr>
          <w:rFonts w:hint="eastAsia" w:ascii="仿宋_GB2312" w:hAnsi="仿宋_GB2312" w:eastAsia="仿宋_GB2312" w:cs="仿宋_GB2312"/>
          <w:color w:val="181717" w:themeColor="background2" w:themeShade="1A"/>
          <w:sz w:val="32"/>
          <w:szCs w:val="32"/>
          <w:lang w:eastAsia="zh-Hans"/>
        </w:rPr>
        <w:t>以智慧农牧、新零售为主题进行命题。智慧农牧赛题涉及人工智能、大数据分析、区块链等领域；新零售赛题涉及智慧零售门店、电子商务平台、智慧物流及供应链等领域，具体题目待定。</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lang w:eastAsia="zh-Hans"/>
        </w:rPr>
      </w:pPr>
      <w:r>
        <w:rPr>
          <w:rFonts w:hint="eastAsia" w:ascii="仿宋_GB2312" w:hAnsi="仿宋_GB2312" w:eastAsia="仿宋_GB2312" w:cs="仿宋_GB2312"/>
          <w:color w:val="181717" w:themeColor="background2" w:themeShade="1A"/>
          <w:sz w:val="32"/>
          <w:szCs w:val="32"/>
          <w:lang w:eastAsia="zh-Hans"/>
        </w:rPr>
        <w:t>二、初赛评审规则</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181717" w:themeColor="background2" w:themeShade="1A"/>
          <w:sz w:val="32"/>
          <w:szCs w:val="32"/>
          <w:lang w:eastAsia="zh-Hans"/>
        </w:rPr>
        <w:t>初赛</w:t>
      </w:r>
      <w:r>
        <w:rPr>
          <w:rFonts w:hint="eastAsia" w:ascii="仿宋_GB2312" w:hAnsi="仿宋_GB2312" w:eastAsia="仿宋_GB2312" w:cs="仿宋_GB2312"/>
          <w:color w:val="181717" w:themeColor="background2" w:themeShade="1A"/>
          <w:sz w:val="32"/>
          <w:szCs w:val="32"/>
        </w:rPr>
        <w:t>采</w:t>
      </w:r>
      <w:r>
        <w:rPr>
          <w:rFonts w:hint="eastAsia" w:ascii="仿宋_GB2312" w:hAnsi="仿宋_GB2312" w:eastAsia="仿宋_GB2312" w:cs="仿宋_GB2312"/>
          <w:sz w:val="32"/>
          <w:szCs w:val="32"/>
        </w:rPr>
        <w:t>用</w:t>
      </w:r>
      <w:r>
        <w:rPr>
          <w:rFonts w:hint="eastAsia" w:ascii="仿宋_GB2312" w:hAnsi="仿宋_GB2312" w:eastAsia="仿宋_GB2312" w:cs="仿宋_GB2312"/>
          <w:sz w:val="32"/>
          <w:szCs w:val="32"/>
          <w:lang w:eastAsia="zh-Hans"/>
        </w:rPr>
        <w:t>线上评审</w:t>
      </w:r>
      <w:r>
        <w:rPr>
          <w:rFonts w:hint="eastAsia" w:ascii="仿宋_GB2312" w:hAnsi="仿宋_GB2312" w:eastAsia="仿宋_GB2312" w:cs="仿宋_GB2312"/>
          <w:sz w:val="32"/>
          <w:szCs w:val="32"/>
        </w:rPr>
        <w:t>的形式，评委从参赛作品的</w:t>
      </w:r>
      <w:r>
        <w:rPr>
          <w:rFonts w:hint="eastAsia" w:ascii="仿宋_GB2312" w:hAnsi="仿宋_GB2312" w:eastAsia="仿宋_GB2312" w:cs="仿宋_GB2312"/>
          <w:sz w:val="32"/>
          <w:szCs w:val="32"/>
          <w:lang w:eastAsia="zh-Hans"/>
        </w:rPr>
        <w:t>技术性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创新性、</w:t>
      </w:r>
      <w:r>
        <w:rPr>
          <w:rFonts w:hint="eastAsia" w:ascii="仿宋_GB2312" w:hAnsi="仿宋_GB2312" w:eastAsia="仿宋_GB2312" w:cs="仿宋_GB2312"/>
          <w:sz w:val="32"/>
          <w:szCs w:val="32"/>
        </w:rPr>
        <w:t>商业性三个方面进行评分</w:t>
      </w:r>
      <w:r>
        <w:rPr>
          <w:rFonts w:hint="eastAsia" w:ascii="仿宋_GB2312" w:hAnsi="仿宋_GB2312" w:eastAsia="仿宋_GB2312" w:cs="仿宋_GB2312"/>
          <w:sz w:val="32"/>
          <w:szCs w:val="32"/>
          <w:lang w:eastAsia="zh-Hans"/>
        </w:rPr>
        <w:t>，优胜团队晋级复赛</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bCs/>
          <w:color w:val="181717" w:themeColor="background2" w:themeShade="1A"/>
          <w:sz w:val="32"/>
          <w:szCs w:val="32"/>
        </w:rPr>
      </w:pPr>
      <w:r>
        <w:rPr>
          <w:rFonts w:hint="eastAsia" w:ascii="仿宋_GB2312" w:hAnsi="仿宋_GB2312" w:eastAsia="仿宋_GB2312" w:cs="仿宋_GB2312"/>
          <w:bCs/>
          <w:color w:val="181717" w:themeColor="background2" w:themeShade="1A"/>
          <w:sz w:val="32"/>
          <w:szCs w:val="32"/>
          <w:lang w:eastAsia="zh-Hans"/>
        </w:rPr>
        <w:t>初赛</w:t>
      </w:r>
      <w:r>
        <w:rPr>
          <w:rFonts w:hint="eastAsia" w:ascii="仿宋_GB2312" w:hAnsi="仿宋_GB2312" w:eastAsia="仿宋_GB2312" w:cs="仿宋_GB2312"/>
          <w:bCs/>
          <w:color w:val="181717" w:themeColor="background2" w:themeShade="1A"/>
          <w:sz w:val="32"/>
          <w:szCs w:val="32"/>
        </w:rPr>
        <w:t>成绩=</w:t>
      </w:r>
      <w:r>
        <w:rPr>
          <w:rFonts w:hint="eastAsia" w:ascii="仿宋_GB2312" w:hAnsi="仿宋_GB2312" w:eastAsia="仿宋_GB2312" w:cs="仿宋_GB2312"/>
          <w:bCs/>
          <w:color w:val="181717" w:themeColor="background2" w:themeShade="1A"/>
          <w:sz w:val="32"/>
          <w:szCs w:val="32"/>
          <w:lang w:eastAsia="zh-Hans"/>
        </w:rPr>
        <w:t>技术性得分</w:t>
      </w:r>
      <w:r>
        <w:rPr>
          <w:rFonts w:hint="eastAsia" w:ascii="仿宋_GB2312" w:hAnsi="仿宋_GB2312" w:eastAsia="仿宋_GB2312" w:cs="仿宋_GB2312"/>
          <w:color w:val="181717" w:themeColor="background2" w:themeShade="1A"/>
          <w:sz w:val="32"/>
          <w:szCs w:val="32"/>
        </w:rPr>
        <w:t>×40%</w:t>
      </w:r>
      <w:r>
        <w:rPr>
          <w:rFonts w:hint="eastAsia" w:ascii="仿宋_GB2312" w:hAnsi="仿宋_GB2312" w:eastAsia="仿宋_GB2312" w:cs="仿宋_GB2312"/>
          <w:bCs/>
          <w:color w:val="181717" w:themeColor="background2" w:themeShade="1A"/>
          <w:sz w:val="32"/>
          <w:szCs w:val="32"/>
          <w:lang w:eastAsia="zh-Hans"/>
        </w:rPr>
        <w:t>+</w:t>
      </w:r>
      <w:r>
        <w:rPr>
          <w:rFonts w:hint="eastAsia" w:ascii="仿宋_GB2312" w:hAnsi="仿宋_GB2312" w:eastAsia="仿宋_GB2312" w:cs="仿宋_GB2312"/>
          <w:bCs/>
          <w:color w:val="181717" w:themeColor="background2" w:themeShade="1A"/>
          <w:sz w:val="32"/>
          <w:szCs w:val="32"/>
        </w:rPr>
        <w:t>创新性得分</w:t>
      </w:r>
      <w:r>
        <w:rPr>
          <w:rFonts w:hint="eastAsia" w:ascii="仿宋_GB2312" w:hAnsi="仿宋_GB2312" w:eastAsia="仿宋_GB2312" w:cs="仿宋_GB2312"/>
          <w:color w:val="181717" w:themeColor="background2" w:themeShade="1A"/>
          <w:sz w:val="32"/>
          <w:szCs w:val="32"/>
        </w:rPr>
        <w:t>×30%</w:t>
      </w:r>
      <w:r>
        <w:rPr>
          <w:rFonts w:hint="eastAsia" w:ascii="仿宋_GB2312" w:hAnsi="仿宋_GB2312" w:eastAsia="仿宋_GB2312" w:cs="仿宋_GB2312"/>
          <w:bCs/>
          <w:color w:val="181717" w:themeColor="background2" w:themeShade="1A"/>
          <w:sz w:val="32"/>
          <w:szCs w:val="32"/>
        </w:rPr>
        <w:t>+商业性得分</w:t>
      </w:r>
      <w:r>
        <w:rPr>
          <w:rFonts w:hint="eastAsia" w:ascii="仿宋_GB2312" w:hAnsi="仿宋_GB2312" w:eastAsia="仿宋_GB2312" w:cs="仿宋_GB2312"/>
          <w:color w:val="181717" w:themeColor="background2" w:themeShade="1A"/>
          <w:sz w:val="32"/>
          <w:szCs w:val="32"/>
        </w:rPr>
        <w:t>×30%</w:t>
      </w:r>
      <w:r>
        <w:rPr>
          <w:rFonts w:hint="eastAsia" w:ascii="仿宋_GB2312" w:hAnsi="仿宋_GB2312" w:eastAsia="仿宋_GB2312" w:cs="仿宋_GB2312"/>
          <w:bCs/>
          <w:color w:val="181717" w:themeColor="background2" w:themeShade="1A"/>
          <w:sz w:val="32"/>
          <w:szCs w:val="32"/>
        </w:rPr>
        <w:t>。</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lang w:eastAsia="zh-Hans"/>
        </w:rPr>
      </w:pPr>
      <w:r>
        <w:rPr>
          <w:rFonts w:hint="eastAsia" w:ascii="仿宋_GB2312" w:hAnsi="仿宋_GB2312" w:eastAsia="仿宋_GB2312" w:cs="仿宋_GB2312"/>
          <w:color w:val="181717" w:themeColor="background2" w:themeShade="1A"/>
          <w:sz w:val="32"/>
          <w:szCs w:val="32"/>
          <w:lang w:eastAsia="zh-Hans"/>
        </w:rPr>
        <w:t>三、复赛评审规则</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复赛采用答辩路演的形式，</w:t>
      </w:r>
      <w:r>
        <w:rPr>
          <w:rFonts w:hint="eastAsia" w:ascii="仿宋_GB2312" w:hAnsi="仿宋_GB2312" w:eastAsia="仿宋_GB2312" w:cs="仿宋_GB2312"/>
          <w:sz w:val="32"/>
          <w:szCs w:val="32"/>
        </w:rPr>
        <w:t>评委从参赛作品的</w:t>
      </w:r>
      <w:r>
        <w:rPr>
          <w:rFonts w:hint="eastAsia" w:ascii="仿宋_GB2312" w:hAnsi="仿宋_GB2312" w:eastAsia="仿宋_GB2312" w:cs="仿宋_GB2312"/>
          <w:sz w:val="32"/>
          <w:szCs w:val="32"/>
          <w:lang w:eastAsia="zh-Hans"/>
        </w:rPr>
        <w:t>技术性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创新性、</w:t>
      </w:r>
      <w:r>
        <w:rPr>
          <w:rFonts w:hint="eastAsia" w:ascii="仿宋_GB2312" w:hAnsi="仿宋_GB2312" w:eastAsia="仿宋_GB2312" w:cs="仿宋_GB2312"/>
          <w:sz w:val="32"/>
          <w:szCs w:val="32"/>
        </w:rPr>
        <w:t>商业性</w:t>
      </w:r>
      <w:r>
        <w:rPr>
          <w:rFonts w:hint="eastAsia" w:ascii="仿宋_GB2312" w:hAnsi="仿宋_GB2312" w:eastAsia="仿宋_GB2312" w:cs="仿宋_GB2312"/>
          <w:sz w:val="32"/>
          <w:szCs w:val="32"/>
          <w:lang w:eastAsia="zh-Hans"/>
        </w:rPr>
        <w:t>、完整度四</w:t>
      </w:r>
      <w:r>
        <w:rPr>
          <w:rFonts w:hint="eastAsia" w:ascii="仿宋_GB2312" w:hAnsi="仿宋_GB2312" w:eastAsia="仿宋_GB2312" w:cs="仿宋_GB2312"/>
          <w:sz w:val="32"/>
          <w:szCs w:val="32"/>
        </w:rPr>
        <w:t>个方面进行评分，</w:t>
      </w:r>
      <w:r>
        <w:rPr>
          <w:rFonts w:hint="eastAsia" w:ascii="仿宋_GB2312" w:hAnsi="仿宋_GB2312" w:eastAsia="仿宋_GB2312" w:cs="仿宋_GB2312"/>
          <w:sz w:val="32"/>
          <w:szCs w:val="32"/>
          <w:lang w:eastAsia="zh-Hans"/>
        </w:rPr>
        <w:t>选拔优秀团队晋级总决赛。</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复赛成绩=</w:t>
      </w:r>
      <w:r>
        <w:rPr>
          <w:rFonts w:hint="eastAsia" w:ascii="仿宋_GB2312" w:hAnsi="仿宋_GB2312" w:eastAsia="仿宋_GB2312" w:cs="仿宋_GB2312"/>
          <w:bCs/>
          <w:sz w:val="32"/>
          <w:szCs w:val="32"/>
          <w:lang w:eastAsia="zh-Hans"/>
        </w:rPr>
        <w:t>技术性得分</w:t>
      </w:r>
      <w:r>
        <w:rPr>
          <w:rFonts w:hint="eastAsia" w:ascii="仿宋_GB2312" w:hAnsi="仿宋_GB2312" w:eastAsia="仿宋_GB2312" w:cs="仿宋_GB2312"/>
          <w:sz w:val="32"/>
          <w:szCs w:val="32"/>
        </w:rPr>
        <w:t>×30%</w:t>
      </w:r>
      <w:r>
        <w:rPr>
          <w:rFonts w:hint="eastAsia" w:ascii="仿宋_GB2312" w:hAnsi="仿宋_GB2312" w:eastAsia="仿宋_GB2312" w:cs="仿宋_GB2312"/>
          <w:bCs/>
          <w:sz w:val="32"/>
          <w:szCs w:val="32"/>
          <w:lang w:eastAsia="zh-Hans"/>
        </w:rPr>
        <w:t>+创新性得分×20%</w:t>
      </w:r>
      <w:r>
        <w:rPr>
          <w:rFonts w:hint="eastAsia" w:ascii="仿宋_GB2312" w:hAnsi="仿宋_GB2312" w:eastAsia="仿宋_GB2312" w:cs="仿宋_GB2312"/>
          <w:bCs/>
          <w:sz w:val="32"/>
          <w:szCs w:val="32"/>
        </w:rPr>
        <w:t>+商业性得分</w:t>
      </w:r>
      <w:r>
        <w:rPr>
          <w:rFonts w:hint="eastAsia" w:ascii="仿宋_GB2312" w:hAnsi="仿宋_GB2312" w:eastAsia="仿宋_GB2312" w:cs="仿宋_GB2312"/>
          <w:bCs/>
          <w:sz w:val="32"/>
          <w:szCs w:val="32"/>
          <w:lang w:eastAsia="zh-Hans"/>
        </w:rPr>
        <w:t>×20%+完整度得分×20%</w:t>
      </w:r>
      <w:r>
        <w:rPr>
          <w:rFonts w:hint="eastAsia" w:ascii="仿宋_GB2312" w:hAnsi="仿宋_GB2312" w:eastAsia="仿宋_GB2312" w:cs="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同期举办创客马拉松，参赛者进行现场编程开发，提交代码方案并进行路演，表现突出团队经评委评审后晋级全国总决赛。</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lang w:eastAsia="zh-Hans"/>
        </w:rPr>
      </w:pP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color w:val="181717" w:themeColor="background2" w:themeShade="1A"/>
          <w:sz w:val="32"/>
          <w:szCs w:val="32"/>
          <w:lang w:eastAsia="zh-Hans"/>
        </w:rPr>
      </w:pPr>
      <w:r>
        <w:rPr>
          <w:rFonts w:hint="eastAsia" w:ascii="仿宋_GB2312" w:hAnsi="仿宋_GB2312" w:eastAsia="仿宋_GB2312" w:cs="仿宋_GB2312"/>
          <w:color w:val="181717" w:themeColor="background2" w:themeShade="1A"/>
          <w:sz w:val="32"/>
          <w:szCs w:val="32"/>
          <w:lang w:eastAsia="zh-Hans"/>
        </w:rPr>
        <w:t>四、</w:t>
      </w:r>
      <w:r>
        <w:rPr>
          <w:rFonts w:hint="eastAsia" w:ascii="仿宋_GB2312" w:hAnsi="仿宋_GB2312" w:eastAsia="仿宋_GB2312" w:cs="仿宋_GB2312"/>
          <w:color w:val="181717" w:themeColor="background2" w:themeShade="1A"/>
          <w:sz w:val="32"/>
          <w:szCs w:val="32"/>
        </w:rPr>
        <w:t>全国总决赛评审规则</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全国总决赛由答辩路演得分和项目展示人气得分两部分组成。</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sz w:val="32"/>
          <w:szCs w:val="32"/>
          <w:lang w:eastAsia="zh-Hans"/>
        </w:rPr>
        <w:t>答辩路演从参赛作品的创意度、完成度、商业化度、展示度</w:t>
      </w:r>
      <w:r>
        <w:rPr>
          <w:rFonts w:hint="eastAsia" w:ascii="仿宋_GB2312" w:hAnsi="仿宋_GB2312" w:eastAsia="仿宋_GB2312" w:cs="仿宋_GB2312"/>
          <w:sz w:val="32"/>
          <w:szCs w:val="32"/>
        </w:rPr>
        <w:t>四个方面进行综合评分，</w:t>
      </w:r>
      <w:r>
        <w:rPr>
          <w:rFonts w:hint="eastAsia" w:ascii="仿宋_GB2312" w:hAnsi="仿宋_GB2312" w:eastAsia="仿宋_GB2312" w:cs="仿宋_GB2312"/>
          <w:sz w:val="32"/>
          <w:szCs w:val="32"/>
          <w:lang w:eastAsia="zh-Hans"/>
        </w:rPr>
        <w:t>评分采用百分制。项目展示人气部分以视频号集赞形式进行，参赛团队需制作1分钟参赛视频，并上传至正大招聘视频号进行人气点赞，根据参赛团队集赞数量排名积分，集赞截至时间为总决赛颁奖前一天21:00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lang w:eastAsia="zh-Hans"/>
        </w:rPr>
        <w:t>答辩路演成绩=创意度得分</w:t>
      </w:r>
      <w:r>
        <w:rPr>
          <w:rFonts w:hint="eastAsia" w:ascii="仿宋_GB2312" w:hAnsi="仿宋_GB2312" w:eastAsia="仿宋_GB2312" w:cs="仿宋_GB2312"/>
          <w:sz w:val="32"/>
          <w:szCs w:val="32"/>
        </w:rPr>
        <w:t>×30%</w:t>
      </w:r>
      <w:r>
        <w:rPr>
          <w:rFonts w:hint="eastAsia" w:ascii="仿宋_GB2312" w:hAnsi="仿宋_GB2312" w:eastAsia="仿宋_GB2312" w:cs="仿宋_GB2312"/>
          <w:bCs/>
          <w:sz w:val="32"/>
          <w:szCs w:val="32"/>
          <w:lang w:eastAsia="zh-Hans"/>
        </w:rPr>
        <w:t>+完</w:t>
      </w:r>
      <w:r>
        <w:rPr>
          <w:rFonts w:hint="eastAsia" w:ascii="仿宋_GB2312" w:hAnsi="仿宋_GB2312" w:eastAsia="仿宋_GB2312" w:cs="仿宋_GB2312"/>
          <w:bCs/>
          <w:sz w:val="32"/>
          <w:szCs w:val="32"/>
        </w:rPr>
        <w:t>整</w:t>
      </w:r>
      <w:r>
        <w:rPr>
          <w:rFonts w:hint="eastAsia" w:ascii="仿宋_GB2312" w:hAnsi="仿宋_GB2312" w:eastAsia="仿宋_GB2312" w:cs="仿宋_GB2312"/>
          <w:bCs/>
          <w:sz w:val="32"/>
          <w:szCs w:val="32"/>
          <w:lang w:eastAsia="zh-Hans"/>
        </w:rPr>
        <w:t>度得分</w:t>
      </w:r>
      <w:r>
        <w:rPr>
          <w:rFonts w:hint="eastAsia" w:ascii="仿宋_GB2312" w:hAnsi="仿宋_GB2312" w:eastAsia="仿宋_GB2312" w:cs="仿宋_GB2312"/>
          <w:sz w:val="32"/>
          <w:szCs w:val="32"/>
        </w:rPr>
        <w:t>×30%</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rPr>
        <w:t>商业价值</w:t>
      </w:r>
      <w:r>
        <w:rPr>
          <w:rFonts w:hint="eastAsia" w:ascii="仿宋_GB2312" w:hAnsi="仿宋_GB2312" w:eastAsia="仿宋_GB2312" w:cs="仿宋_GB2312"/>
          <w:bCs/>
          <w:sz w:val="32"/>
          <w:szCs w:val="32"/>
          <w:lang w:eastAsia="zh-Hans"/>
        </w:rPr>
        <w:t>得分</w:t>
      </w:r>
      <w:r>
        <w:rPr>
          <w:rFonts w:hint="eastAsia" w:ascii="仿宋_GB2312" w:hAnsi="仿宋_GB2312" w:eastAsia="仿宋_GB2312" w:cs="仿宋_GB2312"/>
          <w:sz w:val="32"/>
          <w:szCs w:val="32"/>
        </w:rPr>
        <w:t>×20%</w:t>
      </w:r>
      <w:r>
        <w:rPr>
          <w:rFonts w:hint="eastAsia" w:ascii="仿宋_GB2312" w:hAnsi="仿宋_GB2312" w:eastAsia="仿宋_GB2312" w:cs="仿宋_GB2312"/>
          <w:bCs/>
          <w:sz w:val="32"/>
          <w:szCs w:val="32"/>
          <w:lang w:eastAsia="zh-Hans"/>
        </w:rPr>
        <w:t>+展示度得分</w:t>
      </w:r>
      <w:r>
        <w:rPr>
          <w:rFonts w:hint="eastAsia" w:ascii="仿宋_GB2312" w:hAnsi="仿宋_GB2312" w:eastAsia="仿宋_GB2312" w:cs="仿宋_GB2312"/>
          <w:sz w:val="32"/>
          <w:szCs w:val="32"/>
        </w:rPr>
        <w:t>×20%</w:t>
      </w:r>
      <w:r>
        <w:rPr>
          <w:rFonts w:hint="eastAsia" w:ascii="仿宋_GB2312" w:hAnsi="仿宋_GB2312" w:eastAsia="仿宋_GB2312" w:cs="仿宋_GB2312"/>
          <w:bCs/>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总决赛</w:t>
      </w:r>
      <w:r>
        <w:rPr>
          <w:rFonts w:hint="eastAsia" w:ascii="仿宋_GB2312" w:hAnsi="仿宋_GB2312" w:eastAsia="仿宋_GB2312" w:cs="仿宋_GB2312"/>
          <w:sz w:val="32"/>
          <w:szCs w:val="32"/>
        </w:rPr>
        <w:t>成绩=</w:t>
      </w:r>
      <w:r>
        <w:rPr>
          <w:rFonts w:hint="eastAsia" w:ascii="仿宋_GB2312" w:hAnsi="仿宋_GB2312" w:eastAsia="仿宋_GB2312" w:cs="仿宋_GB2312"/>
          <w:sz w:val="32"/>
          <w:szCs w:val="32"/>
          <w:lang w:eastAsia="zh-Hans"/>
        </w:rPr>
        <w:t>答辩路演得分</w:t>
      </w:r>
      <w:r>
        <w:rPr>
          <w:rFonts w:hint="eastAsia" w:ascii="仿宋_GB2312" w:hAnsi="仿宋_GB2312" w:eastAsia="仿宋_GB2312" w:cs="仿宋_GB2312"/>
          <w:sz w:val="32"/>
          <w:szCs w:val="32"/>
        </w:rPr>
        <w:t>×95%+</w:t>
      </w:r>
      <w:r>
        <w:rPr>
          <w:rFonts w:hint="eastAsia" w:ascii="仿宋_GB2312" w:hAnsi="仿宋_GB2312" w:eastAsia="仿宋_GB2312" w:cs="仿宋_GB2312"/>
          <w:sz w:val="32"/>
          <w:szCs w:val="32"/>
          <w:lang w:eastAsia="zh-Hans"/>
        </w:rPr>
        <w:t>项目展示人气得分</w:t>
      </w:r>
      <w:r>
        <w:rPr>
          <w:rFonts w:hint="eastAsia" w:ascii="仿宋_GB2312" w:hAnsi="仿宋_GB2312" w:eastAsia="仿宋_GB2312" w:cs="仿宋_GB2312"/>
          <w:sz w:val="32"/>
          <w:szCs w:val="32"/>
        </w:rPr>
        <w:t>×5%</w:t>
      </w: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NGVhZjkwOWJkNTFlYzc2MjU0ODJkODIxZjQxMzEifQ=="/>
  </w:docVars>
  <w:rsids>
    <w:rsidRoot w:val="00000000"/>
    <w:rsid w:val="1CF53693"/>
    <w:rsid w:val="2AE201B6"/>
    <w:rsid w:val="686E2C43"/>
    <w:rsid w:val="6ECA2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1646</Words>
  <Characters>1754</Characters>
  <Lines>0</Lines>
  <Paragraphs>0</Paragraphs>
  <TotalTime>2</TotalTime>
  <ScaleCrop>false</ScaleCrop>
  <LinksUpToDate>false</LinksUpToDate>
  <CharactersWithSpaces>1756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2022-05-20T14:17:00Z</dcterms:created>
  <dc:creator>DELL</dc:creator>
  <cp:lastModifiedBy>Dell</cp:lastModifiedBy>
  <dcterms:modified xsi:type="dcterms:W3CDTF">2022-05-21T02:09:15Z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E1CBB39127A4473C98C429EA554D4B3F</vt:lpwstr>
  </property>
</Properties>
</file>